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73DB" w14:textId="77777777" w:rsidR="00DB4976" w:rsidRDefault="00DB4976" w:rsidP="00DB4976">
      <w:pPr>
        <w:pStyle w:val="Heading1"/>
        <w:jc w:val="center"/>
      </w:pPr>
      <w:bookmarkStart w:id="0" w:name="_GoBack"/>
      <w:bookmarkEnd w:id="0"/>
      <w:r>
        <w:t>SECTION 061623</w:t>
      </w:r>
    </w:p>
    <w:p w14:paraId="156458A0" w14:textId="77777777" w:rsidR="00DB4976" w:rsidRDefault="00DB4976" w:rsidP="00DB4976">
      <w:pPr>
        <w:pStyle w:val="Heading1"/>
        <w:jc w:val="center"/>
      </w:pPr>
      <w:r>
        <w:t>subflooring</w:t>
      </w:r>
    </w:p>
    <w:p w14:paraId="45A8B137" w14:textId="77777777" w:rsidR="00DB4976" w:rsidRDefault="00DB4976" w:rsidP="00DB4976">
      <w:pPr>
        <w:pStyle w:val="Heading1"/>
      </w:pPr>
      <w:r>
        <w:t>PART 1</w:t>
      </w:r>
      <w:r>
        <w:tab/>
        <w:t>GENERAL</w:t>
      </w:r>
    </w:p>
    <w:p w14:paraId="73A36292" w14:textId="77777777" w:rsidR="00DB4976" w:rsidRDefault="00DB4976" w:rsidP="00DB4976">
      <w:pPr>
        <w:pStyle w:val="Heading2"/>
      </w:pPr>
      <w:r>
        <w:t>GENERAL REQUIREMENTS</w:t>
      </w:r>
    </w:p>
    <w:p w14:paraId="5E0961D7" w14:textId="77777777" w:rsidR="00DB4976" w:rsidRDefault="00DB4976" w:rsidP="00DB4976">
      <w:pPr>
        <w:pStyle w:val="Heading5"/>
      </w:pPr>
      <w:r>
        <w:t>Work of this Section, as shown or specified, shall be in accordance with the requirements of the Contract Documents.</w:t>
      </w:r>
    </w:p>
    <w:p w14:paraId="28FB570A" w14:textId="77777777" w:rsidR="00DB4976" w:rsidRDefault="00DB4976" w:rsidP="00DB4976">
      <w:pPr>
        <w:pStyle w:val="Heading2"/>
      </w:pPr>
      <w:r>
        <w:t>section includes</w:t>
      </w:r>
    </w:p>
    <w:p w14:paraId="4D46DD9E" w14:textId="77777777" w:rsidR="00DB4976" w:rsidRDefault="00DB4976" w:rsidP="00DB4976">
      <w:pPr>
        <w:pStyle w:val="Heading5"/>
      </w:pPr>
      <w:r>
        <w:t>The Work of this Section includes all labor, materials, equipment, and services necessary to complete the subflooring as shown on the drawings and/or specified herein, including, but not necessarily limited to, the following:</w:t>
      </w:r>
    </w:p>
    <w:p w14:paraId="32B0DF13" w14:textId="77777777" w:rsidR="00DB4976" w:rsidRDefault="00DB4976" w:rsidP="00DB4976">
      <w:pPr>
        <w:pStyle w:val="Heading6"/>
      </w:pPr>
      <w:r>
        <w:t>Magnesium oxide (MGO) structural panel subflooring.</w:t>
      </w:r>
    </w:p>
    <w:p w14:paraId="466AAC3A" w14:textId="77777777" w:rsidR="00DB4976" w:rsidRDefault="00DB4976" w:rsidP="00DB4976">
      <w:pPr>
        <w:pStyle w:val="Heading2"/>
      </w:pPr>
      <w:r>
        <w:t>Related sections</w:t>
      </w:r>
    </w:p>
    <w:p w14:paraId="055DFC20" w14:textId="77777777" w:rsidR="00DB4976" w:rsidRDefault="00DB4976" w:rsidP="00DB4976">
      <w:pPr>
        <w:pStyle w:val="Heading5"/>
      </w:pPr>
      <w:r>
        <w:t>Cold-Formed Metal Framing - Section 054000.</w:t>
      </w:r>
    </w:p>
    <w:p w14:paraId="019DFCF2" w14:textId="77777777" w:rsidR="00DB4976" w:rsidRDefault="00DB4976" w:rsidP="00DB4976">
      <w:pPr>
        <w:pStyle w:val="Heading2"/>
      </w:pPr>
      <w:r>
        <w:t>references</w:t>
      </w:r>
    </w:p>
    <w:p w14:paraId="24FD6E90" w14:textId="77777777" w:rsidR="00DB4976" w:rsidRDefault="00DB4976" w:rsidP="00DB4976">
      <w:pPr>
        <w:pStyle w:val="Heading5"/>
      </w:pPr>
      <w:r w:rsidRPr="002907BC">
        <w:t>ASTM International (ASTM)</w:t>
      </w:r>
    </w:p>
    <w:p w14:paraId="298748F5" w14:textId="77777777" w:rsidR="00DB4976" w:rsidRPr="002907BC" w:rsidRDefault="00DB4976" w:rsidP="00DB4976">
      <w:pPr>
        <w:pStyle w:val="Heading6"/>
      </w:pPr>
      <w:r w:rsidRPr="002907BC">
        <w:t>ASTM C1280 Standard Specification for Application of Gypsum Sheathing.</w:t>
      </w:r>
    </w:p>
    <w:p w14:paraId="46069849" w14:textId="77777777" w:rsidR="00DB4976" w:rsidRPr="002907BC" w:rsidRDefault="00DB4976" w:rsidP="00DB4976">
      <w:pPr>
        <w:pStyle w:val="Heading6"/>
      </w:pPr>
      <w:r w:rsidRPr="002907BC">
        <w:t>ASTM D6109 Standard Test Methods for Flexural Properties of Unreinforced and Reinforced Plastic Lumber and</w:t>
      </w:r>
      <w:r>
        <w:t xml:space="preserve"> </w:t>
      </w:r>
      <w:r w:rsidRPr="002907BC">
        <w:t>Related Products.</w:t>
      </w:r>
    </w:p>
    <w:p w14:paraId="060D1056" w14:textId="77777777" w:rsidR="00DB4976" w:rsidRPr="002907BC" w:rsidRDefault="00DB4976" w:rsidP="00DB4976">
      <w:pPr>
        <w:pStyle w:val="Heading6"/>
      </w:pPr>
      <w:r w:rsidRPr="002907BC">
        <w:t>ASTM E84 Standard Test Method for Surface Burning Characteristics of Building Materials.</w:t>
      </w:r>
    </w:p>
    <w:p w14:paraId="3E386CF0" w14:textId="571FD581" w:rsidR="00DB4976" w:rsidRDefault="00DB4976" w:rsidP="00DB4976">
      <w:pPr>
        <w:pStyle w:val="Heading6"/>
      </w:pPr>
      <w:r w:rsidRPr="002907BC">
        <w:t>ASTM E119 Standard Test Methods for Fire Tests of Building Construction and Materials.</w:t>
      </w:r>
    </w:p>
    <w:p w14:paraId="7B4E88BB" w14:textId="38C7A1F5" w:rsidR="00101AD7" w:rsidRPr="002907BC" w:rsidRDefault="00101AD7" w:rsidP="00101AD7">
      <w:pPr>
        <w:pStyle w:val="Heading6"/>
      </w:pPr>
      <w:r w:rsidRPr="00101AD7">
        <w:t>ASTM E136</w:t>
      </w:r>
      <w:r>
        <w:t xml:space="preserve"> </w:t>
      </w:r>
      <w:r w:rsidRPr="00101AD7">
        <w:t>Standard Test Method for Behavior of Materials in a Vertical Tube Furnace at 750° C</w:t>
      </w:r>
    </w:p>
    <w:p w14:paraId="15B807C9" w14:textId="77777777" w:rsidR="00DB4976" w:rsidRPr="002907BC" w:rsidRDefault="00DB4976" w:rsidP="00DB4976">
      <w:pPr>
        <w:pStyle w:val="Heading6"/>
      </w:pPr>
      <w:r w:rsidRPr="002907BC">
        <w:t>ASTM G21 Standard Practice for Determining Resistance of Synthetic Polymeric Materials to Fungi.</w:t>
      </w:r>
    </w:p>
    <w:p w14:paraId="500F6044" w14:textId="77777777" w:rsidR="00DB4976" w:rsidRDefault="00DB4976" w:rsidP="00DB4976">
      <w:pPr>
        <w:pStyle w:val="Heading2"/>
      </w:pPr>
      <w:r>
        <w:t>quality assurance</w:t>
      </w:r>
    </w:p>
    <w:p w14:paraId="78ECFE05" w14:textId="77777777" w:rsidR="00DB4976" w:rsidRDefault="00DB4976" w:rsidP="00DB4976">
      <w:pPr>
        <w:pStyle w:val="Heading5"/>
      </w:pPr>
      <w:r>
        <w:t xml:space="preserve">Fire </w:t>
      </w:r>
      <w:r w:rsidRPr="00E3547E">
        <w:t>Performance Requirements</w:t>
      </w:r>
    </w:p>
    <w:p w14:paraId="36DA068B" w14:textId="77777777" w:rsidR="00DB4976" w:rsidRPr="00B42678" w:rsidRDefault="00DB4976" w:rsidP="00DB4976">
      <w:pPr>
        <w:pStyle w:val="Heading6"/>
      </w:pPr>
      <w:r w:rsidRPr="00B42678">
        <w:t xml:space="preserve">Fire-Rated Assemblies: </w:t>
      </w:r>
      <w:r>
        <w:t xml:space="preserve"> </w:t>
      </w:r>
      <w:r w:rsidRPr="00B42678">
        <w:t>Provide panels suitable for use in fire-rated assemblies in accordance with ASTM E119.</w:t>
      </w:r>
    </w:p>
    <w:p w14:paraId="6539DEBB" w14:textId="77777777" w:rsidR="00DB4976" w:rsidRPr="00B42678" w:rsidRDefault="00DB4976" w:rsidP="00DB4976">
      <w:pPr>
        <w:pStyle w:val="Heading6"/>
      </w:pPr>
      <w:r w:rsidRPr="00B42678">
        <w:t xml:space="preserve">Surface </w:t>
      </w:r>
      <w:r>
        <w:t>B</w:t>
      </w:r>
      <w:r w:rsidRPr="00B42678">
        <w:t xml:space="preserve">urning </w:t>
      </w:r>
      <w:r>
        <w:t>C</w:t>
      </w:r>
      <w:r w:rsidRPr="00B42678">
        <w:t>haracteristics</w:t>
      </w:r>
      <w:r>
        <w:t>:  When</w:t>
      </w:r>
      <w:r w:rsidRPr="00B42678">
        <w:t xml:space="preserve"> tested in accordance with ASTM E84</w:t>
      </w:r>
      <w:r>
        <w:t>:</w:t>
      </w:r>
    </w:p>
    <w:p w14:paraId="78229CC6" w14:textId="77777777" w:rsidR="00DB4976" w:rsidRPr="00B42678" w:rsidRDefault="00DB4976" w:rsidP="00DB4976">
      <w:pPr>
        <w:pStyle w:val="Heading7"/>
      </w:pPr>
      <w:r w:rsidRPr="00B42678">
        <w:lastRenderedPageBreak/>
        <w:t xml:space="preserve">Flame Spread:  </w:t>
      </w:r>
      <w:r>
        <w:t>0,</w:t>
      </w:r>
      <w:r w:rsidRPr="00B42678">
        <w:t xml:space="preserve"> maximum.</w:t>
      </w:r>
    </w:p>
    <w:p w14:paraId="62E546E6" w14:textId="77777777" w:rsidR="00DB4976" w:rsidRPr="00B42678" w:rsidRDefault="00DB4976" w:rsidP="00DB4976">
      <w:pPr>
        <w:pStyle w:val="Heading7"/>
      </w:pPr>
      <w:r w:rsidRPr="00B42678">
        <w:t xml:space="preserve">Smoke Developed: </w:t>
      </w:r>
      <w:r>
        <w:t xml:space="preserve"> </w:t>
      </w:r>
      <w:r w:rsidRPr="00B42678">
        <w:t>0</w:t>
      </w:r>
      <w:r>
        <w:t>,</w:t>
      </w:r>
      <w:r w:rsidRPr="00B42678">
        <w:t xml:space="preserve"> maximum.</w:t>
      </w:r>
    </w:p>
    <w:p w14:paraId="10DDBFD9" w14:textId="77777777" w:rsidR="00DB4976" w:rsidRPr="00E3547E" w:rsidRDefault="00DB4976" w:rsidP="00DB4976"/>
    <w:p w14:paraId="26159697" w14:textId="77777777" w:rsidR="00DB4976" w:rsidRDefault="00DB4976" w:rsidP="00DB4976">
      <w:pPr>
        <w:pStyle w:val="Heading2"/>
      </w:pPr>
      <w:r>
        <w:t>submittals</w:t>
      </w:r>
    </w:p>
    <w:p w14:paraId="253EDF85" w14:textId="77777777" w:rsidR="00DB4976" w:rsidRDefault="00DB4976" w:rsidP="00DB4976">
      <w:pPr>
        <w:pStyle w:val="Heading5"/>
      </w:pPr>
      <w:r>
        <w:t>Product Data:  Submit</w:t>
      </w:r>
      <w:r w:rsidRPr="00A11D71">
        <w:t xml:space="preserve"> </w:t>
      </w:r>
      <w:r>
        <w:t>manufacturer's specifications and other data needed to prove compliance with the specified requirements</w:t>
      </w:r>
    </w:p>
    <w:p w14:paraId="7811C1C9" w14:textId="77777777" w:rsidR="00DB4976" w:rsidRDefault="00DB4976" w:rsidP="00DB4976">
      <w:pPr>
        <w:pStyle w:val="Heading5"/>
      </w:pPr>
      <w:r>
        <w:t>Manufacturer's recommended installation procedures.</w:t>
      </w:r>
    </w:p>
    <w:p w14:paraId="5C443F5E" w14:textId="77777777" w:rsidR="00DB4976" w:rsidRDefault="00DB4976" w:rsidP="00DB4976">
      <w:pPr>
        <w:pStyle w:val="Heading5"/>
      </w:pPr>
      <w:r>
        <w:t>Manufacturer's warranty.</w:t>
      </w:r>
    </w:p>
    <w:p w14:paraId="413FE306" w14:textId="77777777" w:rsidR="00DB4976" w:rsidRDefault="00DB4976" w:rsidP="00DB4976">
      <w:pPr>
        <w:pStyle w:val="Heading2"/>
      </w:pPr>
      <w:r>
        <w:t>delivery, storage and handling</w:t>
      </w:r>
    </w:p>
    <w:p w14:paraId="4AF529E8" w14:textId="77777777" w:rsidR="00DB4976" w:rsidRPr="00E3547E" w:rsidRDefault="00DB4976" w:rsidP="00DB4976">
      <w:pPr>
        <w:pStyle w:val="Heading5"/>
      </w:pPr>
      <w:r w:rsidRPr="00E3547E">
        <w:t xml:space="preserve">Delivery: </w:t>
      </w:r>
      <w:r>
        <w:t xml:space="preserve"> </w:t>
      </w:r>
      <w:r w:rsidRPr="00E3547E">
        <w:t>Deliver materials in manufacturer</w:t>
      </w:r>
      <w:r>
        <w:t>'</w:t>
      </w:r>
      <w:r w:rsidRPr="00E3547E">
        <w:t>s original undamaged containers with identification labels intact.</w:t>
      </w:r>
    </w:p>
    <w:p w14:paraId="3A55831F" w14:textId="77777777" w:rsidR="00DB4976" w:rsidRDefault="00DB4976" w:rsidP="00DB4976">
      <w:pPr>
        <w:pStyle w:val="Heading5"/>
      </w:pPr>
      <w:r w:rsidRPr="00E3547E">
        <w:t>Storage and Protection</w:t>
      </w:r>
    </w:p>
    <w:p w14:paraId="7D940DEE" w14:textId="77777777" w:rsidR="00DB4976" w:rsidRPr="00E3547E" w:rsidRDefault="00DB4976" w:rsidP="00DB4976">
      <w:pPr>
        <w:pStyle w:val="Heading6"/>
      </w:pPr>
      <w:r>
        <w:t xml:space="preserve">Store subflooring panels in a cool, dry place.  </w:t>
      </w:r>
      <w:r w:rsidRPr="00E3547E">
        <w:t>Store materials protected from exposure to harmful environmental conditions and at temperature and humidity conditions recommended by the manufacturer.</w:t>
      </w:r>
    </w:p>
    <w:p w14:paraId="33E76337" w14:textId="77777777" w:rsidR="00DB4976" w:rsidRPr="00E3547E" w:rsidRDefault="00DB4976" w:rsidP="00DB4976">
      <w:pPr>
        <w:pStyle w:val="Heading6"/>
      </w:pPr>
      <w:r w:rsidRPr="00E3547E">
        <w:t xml:space="preserve">Stack panels flat with spacers beneath and between each bundle to provide air circulation. </w:t>
      </w:r>
      <w:r>
        <w:t xml:space="preserve"> </w:t>
      </w:r>
      <w:r w:rsidRPr="00E3547E">
        <w:t>Protect s</w:t>
      </w:r>
      <w:r>
        <w:t>ubfloorin</w:t>
      </w:r>
      <w:r w:rsidRPr="00E3547E">
        <w:t xml:space="preserve">g from weather by covering with waterproof sheeting, securely anchored. </w:t>
      </w:r>
      <w:r>
        <w:t xml:space="preserve"> </w:t>
      </w:r>
      <w:r w:rsidRPr="00E3547E">
        <w:t>Provide for air circulation around stacks and under coverings.</w:t>
      </w:r>
    </w:p>
    <w:p w14:paraId="4ED60348" w14:textId="77777777" w:rsidR="00DB4976" w:rsidRPr="00D50A49" w:rsidRDefault="00DB4976" w:rsidP="00DB4976">
      <w:pPr>
        <w:pStyle w:val="Heading5"/>
      </w:pPr>
      <w:r w:rsidRPr="00D50A49">
        <w:t>Handling</w:t>
      </w:r>
      <w:r>
        <w:t xml:space="preserve">:  </w:t>
      </w:r>
      <w:r w:rsidRPr="00D50A49">
        <w:t>Boards sh</w:t>
      </w:r>
      <w:r>
        <w:t>all</w:t>
      </w:r>
      <w:r w:rsidRPr="00D50A49">
        <w:t xml:space="preserve"> be carried on their side and care </w:t>
      </w:r>
      <w:r>
        <w:t xml:space="preserve">shall be </w:t>
      </w:r>
      <w:r w:rsidRPr="00D50A49">
        <w:t xml:space="preserve">taken to avoid </w:t>
      </w:r>
      <w:r>
        <w:t>damag</w:t>
      </w:r>
      <w:r w:rsidRPr="00D50A49">
        <w:t>ing corners and shiplap edges</w:t>
      </w:r>
      <w:r>
        <w:t>.</w:t>
      </w:r>
    </w:p>
    <w:p w14:paraId="0348B3E2" w14:textId="77777777" w:rsidR="00DB4976" w:rsidRDefault="00DB4976" w:rsidP="00DB4976">
      <w:pPr>
        <w:pStyle w:val="Heading2"/>
      </w:pPr>
      <w:r>
        <w:t>warranty</w:t>
      </w:r>
    </w:p>
    <w:p w14:paraId="17298699" w14:textId="77777777" w:rsidR="00DB4976" w:rsidRPr="00E3547E" w:rsidRDefault="00DB4976" w:rsidP="00DB4976">
      <w:pPr>
        <w:pStyle w:val="Heading5"/>
      </w:pPr>
      <w:r>
        <w:t>Manufacturer's Warranty</w:t>
      </w:r>
      <w:r w:rsidRPr="00E3547E">
        <w:t xml:space="preserve">: </w:t>
      </w:r>
      <w:r>
        <w:t xml:space="preserve"> S</w:t>
      </w:r>
      <w:r w:rsidRPr="00E3547E">
        <w:t xml:space="preserve">tandard warranty document executed by authorized company official. </w:t>
      </w:r>
      <w:r>
        <w:t xml:space="preserve"> </w:t>
      </w:r>
      <w:r w:rsidRPr="00E3547E">
        <w:t>Manufacturer</w:t>
      </w:r>
      <w:r>
        <w:t>'</w:t>
      </w:r>
      <w:r w:rsidRPr="00E3547E">
        <w:t>s warranty is in addition</w:t>
      </w:r>
      <w:r>
        <w:t xml:space="preserve"> </w:t>
      </w:r>
      <w:r w:rsidRPr="00E3547E">
        <w:t>to, and not a limitation of, other rights Owner may have under Contract Documents.</w:t>
      </w:r>
    </w:p>
    <w:p w14:paraId="2F1D567B" w14:textId="77777777" w:rsidR="00DB4976" w:rsidRDefault="00DB4976" w:rsidP="00DB4976">
      <w:pPr>
        <w:pStyle w:val="Heading6"/>
      </w:pPr>
      <w:r>
        <w:t>Warranty Period</w:t>
      </w:r>
      <w:r w:rsidRPr="00E3547E">
        <w:t xml:space="preserve">: </w:t>
      </w:r>
      <w:r>
        <w:t xml:space="preserve"> Two (2) </w:t>
      </w:r>
      <w:r w:rsidRPr="00E3547E">
        <w:t>years commencing on Date of Substantial Completion</w:t>
      </w:r>
      <w:r>
        <w:t>.</w:t>
      </w:r>
    </w:p>
    <w:p w14:paraId="138B6E53" w14:textId="77777777" w:rsidR="00DB4976" w:rsidRDefault="00DB4976" w:rsidP="00DB4976">
      <w:pPr>
        <w:pStyle w:val="Heading1"/>
      </w:pPr>
      <w:r>
        <w:t>PART 2</w:t>
      </w:r>
      <w:r>
        <w:tab/>
        <w:t>PRODUCTS</w:t>
      </w:r>
    </w:p>
    <w:p w14:paraId="67141E1F" w14:textId="77777777" w:rsidR="00DB4976" w:rsidRDefault="00DB4976" w:rsidP="00DB4976">
      <w:pPr>
        <w:pStyle w:val="Heading3"/>
      </w:pPr>
      <w:r>
        <w:t>SUBFLOORING</w:t>
      </w:r>
    </w:p>
    <w:p w14:paraId="09D47F67" w14:textId="77777777" w:rsidR="00DB4976" w:rsidRDefault="00DB4976" w:rsidP="00DB4976">
      <w:pPr>
        <w:pStyle w:val="Heading5"/>
      </w:pPr>
      <w:r>
        <w:t xml:space="preserve">Manufacturer:  Dragon Board USA, 2960 Woodbridge Avenue, Edison, NJ 08837; 732-662-6275; </w:t>
      </w:r>
      <w:hyperlink r:id="rId7" w:history="1">
        <w:r w:rsidRPr="00EE487B">
          <w:rPr>
            <w:rStyle w:val="Hyperlink"/>
          </w:rPr>
          <w:t>info@dragonboard.com</w:t>
        </w:r>
      </w:hyperlink>
      <w:r>
        <w:t xml:space="preserve"> </w:t>
      </w:r>
    </w:p>
    <w:p w14:paraId="38285AB9" w14:textId="77777777" w:rsidR="00DB4976" w:rsidRDefault="00DB4976" w:rsidP="00DB4976">
      <w:pPr>
        <w:pStyle w:val="Heading5"/>
      </w:pPr>
      <w:r>
        <w:t>Magnesium Oxide (MGO) Subflooring:  Magnesium oxide with fibrous reinforcement single-floor panels.</w:t>
      </w:r>
    </w:p>
    <w:p w14:paraId="7F2D4FE8" w14:textId="77777777" w:rsidR="00DB4976" w:rsidRDefault="00DB4976" w:rsidP="00DB4976">
      <w:pPr>
        <w:pStyle w:val="Heading6"/>
      </w:pPr>
      <w:r>
        <w:t>Size:  4 feet by 8 feet (1.2m x 2.4m).</w:t>
      </w:r>
    </w:p>
    <w:p w14:paraId="085F7C48" w14:textId="77777777" w:rsidR="00DB4976" w:rsidRDefault="00DB4976" w:rsidP="00DB4976">
      <w:pPr>
        <w:pStyle w:val="Heading6"/>
        <w:rPr>
          <w:rStyle w:val="SI"/>
          <w:color w:val="auto"/>
        </w:rPr>
      </w:pPr>
      <w:r w:rsidRPr="00E3547E">
        <w:t>Nominal Thickness</w:t>
      </w:r>
      <w:r w:rsidRPr="0093622E">
        <w:rPr>
          <w:color w:val="000000" w:themeColor="text1"/>
        </w:rPr>
        <w:t>: 3</w:t>
      </w:r>
      <w:r w:rsidRPr="0093622E">
        <w:rPr>
          <w:rStyle w:val="IP"/>
          <w:color w:val="000000" w:themeColor="text1"/>
        </w:rPr>
        <w:t>/4 inch</w:t>
      </w:r>
      <w:r w:rsidRPr="0093622E">
        <w:rPr>
          <w:rStyle w:val="SI"/>
          <w:color w:val="000000" w:themeColor="text1"/>
        </w:rPr>
        <w:t xml:space="preserve"> (18mm</w:t>
      </w:r>
      <w:r w:rsidRPr="00E3547E">
        <w:rPr>
          <w:rStyle w:val="SI"/>
          <w:color w:val="auto"/>
        </w:rPr>
        <w:t>)</w:t>
      </w:r>
      <w:r>
        <w:rPr>
          <w:rStyle w:val="SI"/>
          <w:color w:val="auto"/>
        </w:rPr>
        <w:t>.</w:t>
      </w:r>
    </w:p>
    <w:p w14:paraId="522F9984" w14:textId="533CB3EC" w:rsidR="00DB4976" w:rsidRDefault="00DB4976" w:rsidP="00DB4976">
      <w:pPr>
        <w:pStyle w:val="Heading6"/>
        <w:rPr>
          <w:rStyle w:val="SI"/>
          <w:color w:val="auto"/>
        </w:rPr>
      </w:pPr>
      <w:r>
        <w:rPr>
          <w:rStyle w:val="SI"/>
          <w:color w:val="auto"/>
        </w:rPr>
        <w:t xml:space="preserve">Edges:  </w:t>
      </w:r>
      <w:r w:rsidR="006850A0">
        <w:rPr>
          <w:rStyle w:val="SI"/>
          <w:color w:val="auto"/>
        </w:rPr>
        <w:t>Shiplap</w:t>
      </w:r>
      <w:r>
        <w:rPr>
          <w:rStyle w:val="SI"/>
          <w:color w:val="auto"/>
        </w:rPr>
        <w:t>,</w:t>
      </w:r>
      <w:r w:rsidR="006850A0">
        <w:rPr>
          <w:rStyle w:val="SI"/>
          <w:color w:val="auto"/>
        </w:rPr>
        <w:t xml:space="preserve"> </w:t>
      </w:r>
      <w:r w:rsidR="00E17424">
        <w:rPr>
          <w:rStyle w:val="SI"/>
          <w:color w:val="auto"/>
        </w:rPr>
        <w:t>e</w:t>
      </w:r>
      <w:r w:rsidR="006850A0">
        <w:rPr>
          <w:rStyle w:val="SI"/>
          <w:color w:val="auto"/>
        </w:rPr>
        <w:t>nds</w:t>
      </w:r>
      <w:r w:rsidR="00E17424">
        <w:rPr>
          <w:rStyle w:val="SI"/>
          <w:color w:val="auto"/>
        </w:rPr>
        <w:t>:</w:t>
      </w:r>
      <w:r w:rsidR="006850A0">
        <w:rPr>
          <w:rStyle w:val="SI"/>
          <w:color w:val="auto"/>
        </w:rPr>
        <w:t xml:space="preserve"> square</w:t>
      </w:r>
      <w:r w:rsidR="00E17424">
        <w:rPr>
          <w:rStyle w:val="SI"/>
          <w:color w:val="auto"/>
        </w:rPr>
        <w:t xml:space="preserve"> or as i</w:t>
      </w:r>
      <w:r>
        <w:rPr>
          <w:rStyle w:val="SI"/>
          <w:color w:val="auto"/>
        </w:rPr>
        <w:t>ndicated.</w:t>
      </w:r>
    </w:p>
    <w:p w14:paraId="0721421C" w14:textId="77777777" w:rsidR="00DB4976" w:rsidRDefault="00DB4976" w:rsidP="00DB4976">
      <w:pPr>
        <w:pStyle w:val="Heading6"/>
        <w:rPr>
          <w:rStyle w:val="SI"/>
          <w:color w:val="auto"/>
        </w:rPr>
      </w:pPr>
      <w:r>
        <w:rPr>
          <w:rStyle w:val="SI"/>
          <w:color w:val="auto"/>
        </w:rPr>
        <w:lastRenderedPageBreak/>
        <w:t>Physical Characteristics</w:t>
      </w:r>
    </w:p>
    <w:p w14:paraId="21F1E7E4" w14:textId="77777777" w:rsidR="00DB4976" w:rsidRPr="00400174" w:rsidRDefault="00DB4976" w:rsidP="00DB4976">
      <w:pPr>
        <w:pStyle w:val="Heading7"/>
      </w:pPr>
      <w:r w:rsidRPr="00400174">
        <w:t xml:space="preserve">Flexural Modulus: </w:t>
      </w:r>
      <w:r>
        <w:t xml:space="preserve"> </w:t>
      </w:r>
      <w:r w:rsidRPr="00400174">
        <w:t>Not less than 106 psi</w:t>
      </w:r>
      <w:r>
        <w:t xml:space="preserve"> (0.73 MPa)</w:t>
      </w:r>
      <w:r w:rsidRPr="00400174">
        <w:t xml:space="preserve"> when tested in accordance with ASTM D6109.</w:t>
      </w:r>
    </w:p>
    <w:p w14:paraId="5859E6C0" w14:textId="77777777" w:rsidR="00DB4976" w:rsidRPr="00400174" w:rsidRDefault="00DB4976" w:rsidP="00DB4976">
      <w:pPr>
        <w:pStyle w:val="Heading7"/>
      </w:pPr>
      <w:r w:rsidRPr="00400174">
        <w:t xml:space="preserve">Flexural Strength: </w:t>
      </w:r>
      <w:r>
        <w:t xml:space="preserve"> </w:t>
      </w:r>
      <w:r w:rsidRPr="00400174">
        <w:t xml:space="preserve">Not less than 1295 psi </w:t>
      </w:r>
      <w:r>
        <w:t xml:space="preserve">(8.93 MPa) </w:t>
      </w:r>
      <w:r w:rsidRPr="00400174">
        <w:t>when tested in accordance with ASTM D6109.</w:t>
      </w:r>
    </w:p>
    <w:p w14:paraId="0BF63430" w14:textId="77777777" w:rsidR="00DB4976" w:rsidRPr="00400174" w:rsidRDefault="00DB4976" w:rsidP="00DB4976">
      <w:pPr>
        <w:pStyle w:val="Heading7"/>
      </w:pPr>
      <w:r w:rsidRPr="00400174">
        <w:t xml:space="preserve">Shear Strength: </w:t>
      </w:r>
      <w:r>
        <w:t xml:space="preserve"> </w:t>
      </w:r>
      <w:r w:rsidRPr="00400174">
        <w:t>Not less than 39</w:t>
      </w:r>
      <w:r>
        <w:t>0</w:t>
      </w:r>
      <w:r w:rsidRPr="00400174">
        <w:t xml:space="preserve"> psi </w:t>
      </w:r>
      <w:r>
        <w:t xml:space="preserve">(2.69 MPa) </w:t>
      </w:r>
      <w:r w:rsidRPr="00400174">
        <w:t>when tested in accordance with ASTM D6109.</w:t>
      </w:r>
    </w:p>
    <w:p w14:paraId="7F3CC025" w14:textId="77777777" w:rsidR="00DB4976" w:rsidRDefault="00DB4976" w:rsidP="00DB4976">
      <w:pPr>
        <w:pStyle w:val="Heading7"/>
      </w:pPr>
      <w:r w:rsidRPr="00400174">
        <w:t xml:space="preserve">Fungus/Mold: </w:t>
      </w:r>
      <w:r>
        <w:t xml:space="preserve"> Classified as n</w:t>
      </w:r>
      <w:r w:rsidRPr="00400174">
        <w:t>on-nutrient when tested in accordance with ASTM G21.</w:t>
      </w:r>
    </w:p>
    <w:p w14:paraId="58A439CF" w14:textId="77777777" w:rsidR="00DB4976" w:rsidRPr="00400174" w:rsidRDefault="00DB4976" w:rsidP="00DB4976"/>
    <w:p w14:paraId="2F4AA978" w14:textId="77777777" w:rsidR="00DB4976" w:rsidRDefault="00DB4976" w:rsidP="00DB4976">
      <w:pPr>
        <w:pStyle w:val="Heading5"/>
      </w:pPr>
      <w:r w:rsidRPr="00D50A49">
        <w:t>Fasteners</w:t>
      </w:r>
    </w:p>
    <w:p w14:paraId="5E543051" w14:textId="77777777" w:rsidR="00DB4976" w:rsidRDefault="00DB4976" w:rsidP="00DB4976">
      <w:pPr>
        <w:pStyle w:val="Heading6"/>
      </w:pPr>
      <w:r>
        <w:t xml:space="preserve">Fasteners for </w:t>
      </w:r>
      <w:r w:rsidRPr="00D50A49">
        <w:t>Cold-</w:t>
      </w:r>
      <w:r>
        <w:t>F</w:t>
      </w:r>
      <w:r w:rsidRPr="00D50A49">
        <w:t xml:space="preserve">ormed Steel </w:t>
      </w:r>
      <w:r>
        <w:t>(</w:t>
      </w:r>
      <w:r w:rsidRPr="00D50A49">
        <w:t>CFS</w:t>
      </w:r>
      <w:r>
        <w:t xml:space="preserve">): </w:t>
      </w:r>
      <w:r w:rsidRPr="00D50A49">
        <w:t xml:space="preserve"> #8,</w:t>
      </w:r>
      <w:r>
        <w:t xml:space="preserve"> </w:t>
      </w:r>
      <w:r w:rsidRPr="00D50A49">
        <w:t>#9 or #10 fine thread self-</w:t>
      </w:r>
      <w:r>
        <w:t>drilling</w:t>
      </w:r>
      <w:r w:rsidRPr="00D50A49">
        <w:t xml:space="preserve"> flat</w:t>
      </w:r>
      <w:r>
        <w:t xml:space="preserve"> </w:t>
      </w:r>
      <w:r w:rsidRPr="00D50A49">
        <w:t xml:space="preserve">head screw with </w:t>
      </w:r>
      <w:r>
        <w:t>r</w:t>
      </w:r>
      <w:r w:rsidRPr="00D50A49">
        <w:t>ibs</w:t>
      </w:r>
      <w:r>
        <w:t xml:space="preserve"> on the underside of the head,</w:t>
      </w:r>
      <w:r w:rsidRPr="00D50A49">
        <w:t xml:space="preserve"> such as</w:t>
      </w:r>
      <w:r>
        <w:t xml:space="preserve"> </w:t>
      </w:r>
      <w:r w:rsidRPr="00D50A49">
        <w:t>Simpson</w:t>
      </w:r>
      <w:r>
        <w:t xml:space="preserve"> </w:t>
      </w:r>
      <w:r w:rsidRPr="00D50A49">
        <w:t>CBSDQ</w:t>
      </w:r>
      <w:r>
        <w:t xml:space="preserve"> (winged)</w:t>
      </w:r>
      <w:r w:rsidRPr="00D50A49">
        <w:t>, Grabber</w:t>
      </w:r>
      <w:r>
        <w:t xml:space="preserve"> </w:t>
      </w:r>
      <w:r w:rsidRPr="00D50A49">
        <w:t>CGH8158LG</w:t>
      </w:r>
      <w:r>
        <w:t xml:space="preserve"> (winged), Grabber </w:t>
      </w:r>
      <w:r w:rsidRPr="00683AFE">
        <w:t>BGCB8158SD</w:t>
      </w:r>
      <w:r>
        <w:t xml:space="preserve">, </w:t>
      </w:r>
      <w:proofErr w:type="spellStart"/>
      <w:r>
        <w:t>Buildex</w:t>
      </w:r>
      <w:proofErr w:type="spellEnd"/>
      <w:r>
        <w:t xml:space="preserve"> S-12 Rock-On 2156500,</w:t>
      </w:r>
      <w:r w:rsidRPr="00D50A49">
        <w:t xml:space="preserve"> or equivalent.</w:t>
      </w:r>
      <w:r>
        <w:t xml:space="preserve"> </w:t>
      </w:r>
      <w:r w:rsidRPr="00D50A49">
        <w:t xml:space="preserve"> The drill wings on the tip prevent board uplift (for use into steel</w:t>
      </w:r>
      <w:r>
        <w:t xml:space="preserve"> 43 mils </w:t>
      </w:r>
      <w:r w:rsidRPr="00D50A49">
        <w:t xml:space="preserve">or thicker only) while the </w:t>
      </w:r>
      <w:r>
        <w:t>r</w:t>
      </w:r>
      <w:r w:rsidRPr="00D50A49">
        <w:t>ibs</w:t>
      </w:r>
      <w:r>
        <w:t xml:space="preserve"> on the underside of the head allow for a flush</w:t>
      </w:r>
      <w:r w:rsidRPr="00D50A49">
        <w:t xml:space="preserve"> finish.</w:t>
      </w:r>
      <w:r>
        <w:t xml:space="preserve"> Screws must penetrate steel with at least 3 exposed threads.</w:t>
      </w:r>
    </w:p>
    <w:p w14:paraId="5ECE7774" w14:textId="77777777" w:rsidR="00DB4976" w:rsidRPr="00D50A49" w:rsidRDefault="00DB4976" w:rsidP="00DB4976">
      <w:pPr>
        <w:pStyle w:val="Heading6"/>
      </w:pPr>
      <w:r>
        <w:t xml:space="preserve">Fasteners for Wood:  </w:t>
      </w:r>
      <w:r w:rsidRPr="00D50A49">
        <w:t xml:space="preserve">High/low thread, flat head screw with </w:t>
      </w:r>
      <w:r>
        <w:t>r</w:t>
      </w:r>
      <w:r w:rsidRPr="00D50A49">
        <w:t>ibs</w:t>
      </w:r>
      <w:r>
        <w:t xml:space="preserve"> on the underside of the head,</w:t>
      </w:r>
      <w:r w:rsidRPr="00D50A49">
        <w:t xml:space="preserve"> such as Simpson CB3BLGHL</w:t>
      </w:r>
      <w:r>
        <w:t xml:space="preserve">, Grabber </w:t>
      </w:r>
      <w:r w:rsidRPr="00B86661">
        <w:t>GCB8125HL</w:t>
      </w:r>
      <w:r>
        <w:t xml:space="preserve">, </w:t>
      </w:r>
      <w:proofErr w:type="spellStart"/>
      <w:r>
        <w:t>Buildex</w:t>
      </w:r>
      <w:proofErr w:type="spellEnd"/>
      <w:r>
        <w:t xml:space="preserve"> hi-lo Rock-On 2151500, or equivalent.</w:t>
      </w:r>
    </w:p>
    <w:p w14:paraId="31C989CA" w14:textId="77777777" w:rsidR="00DB4976" w:rsidRDefault="00DB4976" w:rsidP="00DB4976">
      <w:pPr>
        <w:pStyle w:val="Heading1"/>
      </w:pPr>
      <w:r>
        <w:t>PART 3</w:t>
      </w:r>
      <w:r>
        <w:tab/>
        <w:t>EXECUTION</w:t>
      </w:r>
    </w:p>
    <w:p w14:paraId="1BB7CC66" w14:textId="77777777" w:rsidR="00DB4976" w:rsidRDefault="00DB4976" w:rsidP="00DB4976">
      <w:pPr>
        <w:pStyle w:val="Heading4"/>
      </w:pPr>
      <w:r>
        <w:t>inspection</w:t>
      </w:r>
    </w:p>
    <w:p w14:paraId="75291980" w14:textId="77777777" w:rsidR="00DB4976" w:rsidRDefault="00DB4976" w:rsidP="00DB4976">
      <w:pPr>
        <w:pStyle w:val="Heading5"/>
      </w:pPr>
      <w:r>
        <w:t>Examine the areas and conditions where subflooring is to be installed and correct any conditions detrimental to the proper and timely completion of the work.  Do not proceed with the work until unsatisfactory conditions are corrected to permit proper installation of the work.</w:t>
      </w:r>
    </w:p>
    <w:p w14:paraId="44C44966" w14:textId="77777777" w:rsidR="00DB4976" w:rsidRDefault="00DB4976" w:rsidP="00DB4976">
      <w:pPr>
        <w:pStyle w:val="Heading4"/>
      </w:pPr>
      <w:r>
        <w:t>installation</w:t>
      </w:r>
    </w:p>
    <w:p w14:paraId="3940984F" w14:textId="77777777" w:rsidR="00DB4976" w:rsidRDefault="00DB4976" w:rsidP="00DB4976">
      <w:pPr>
        <w:pStyle w:val="Heading5"/>
      </w:pPr>
      <w:r>
        <w:t>General:  Install in conformance with ASTM C1280.</w:t>
      </w:r>
    </w:p>
    <w:p w14:paraId="7E1FE8C2" w14:textId="77777777" w:rsidR="00DB4976" w:rsidRPr="00D50A49" w:rsidRDefault="00DB4976" w:rsidP="00DB4976">
      <w:pPr>
        <w:pStyle w:val="Heading5"/>
      </w:pPr>
      <w:r w:rsidRPr="00D50A49">
        <w:t>Placement</w:t>
      </w:r>
      <w:r>
        <w:t xml:space="preserve">: </w:t>
      </w:r>
      <w:r w:rsidRPr="00D50A49">
        <w:t xml:space="preserve"> </w:t>
      </w:r>
      <w:r>
        <w:t xml:space="preserve">Place all panels in a running bond pattern with all butt joints over joists.  </w:t>
      </w:r>
      <w:r w:rsidRPr="00D50A49">
        <w:t>All panels should be staggered</w:t>
      </w:r>
      <w:r>
        <w:t xml:space="preserve"> </w:t>
      </w:r>
      <w:r w:rsidRPr="00D50A49">
        <w:t>with a 1/16</w:t>
      </w:r>
      <w:r>
        <w:t>"</w:t>
      </w:r>
      <w:r w:rsidRPr="00D50A49">
        <w:t xml:space="preserve"> (1.</w:t>
      </w:r>
      <w:r>
        <w:t xml:space="preserve">6 </w:t>
      </w:r>
      <w:r w:rsidRPr="00D50A49">
        <w:t>mm) gap between boards to accommodate movement when attached to CFS and 1/8</w:t>
      </w:r>
      <w:r>
        <w:t>"</w:t>
      </w:r>
      <w:r w:rsidRPr="00D50A49">
        <w:t xml:space="preserve"> </w:t>
      </w:r>
      <w:r>
        <w:t xml:space="preserve">(3.2 mm) gap </w:t>
      </w:r>
      <w:r w:rsidRPr="00D50A49">
        <w:t>when attached to wood.</w:t>
      </w:r>
    </w:p>
    <w:p w14:paraId="2931676B" w14:textId="77777777" w:rsidR="00DB4976" w:rsidRPr="00D50A49" w:rsidRDefault="00DB4976" w:rsidP="00DB4976">
      <w:pPr>
        <w:pStyle w:val="Heading5"/>
      </w:pPr>
      <w:r w:rsidRPr="00D50A49">
        <w:t>Board Orientation</w:t>
      </w:r>
      <w:r>
        <w:t xml:space="preserve">: </w:t>
      </w:r>
      <w:r w:rsidRPr="00D50A49">
        <w:t xml:space="preserve"> </w:t>
      </w:r>
      <w:proofErr w:type="spellStart"/>
      <w:r w:rsidRPr="00D50A49">
        <w:t>DragonBoard</w:t>
      </w:r>
      <w:proofErr w:type="spellEnd"/>
      <w:r>
        <w:t xml:space="preserve"> </w:t>
      </w:r>
      <w:r w:rsidRPr="00D50A49">
        <w:t>is smooth on one side and rough on the other.</w:t>
      </w:r>
      <w:r>
        <w:t xml:space="preserve"> </w:t>
      </w:r>
      <w:r w:rsidRPr="00D50A49">
        <w:t xml:space="preserve"> Both surfaces are working surfaces</w:t>
      </w:r>
      <w:r>
        <w:t>: board may be oriented with either side up</w:t>
      </w:r>
      <w:r w:rsidRPr="00D50A49">
        <w:t>.</w:t>
      </w:r>
    </w:p>
    <w:p w14:paraId="675940F8" w14:textId="77777777" w:rsidR="00DB4976" w:rsidRPr="00D50A49" w:rsidRDefault="00DB4976" w:rsidP="00DB4976">
      <w:pPr>
        <w:pStyle w:val="Heading5"/>
      </w:pPr>
      <w:r w:rsidRPr="00D50A49">
        <w:t>Seams</w:t>
      </w:r>
      <w:r>
        <w:t xml:space="preserve">: </w:t>
      </w:r>
      <w:r w:rsidRPr="00D50A49">
        <w:t xml:space="preserve"> When laying resilient</w:t>
      </w:r>
      <w:r>
        <w:t xml:space="preserve"> </w:t>
      </w:r>
      <w:r w:rsidRPr="00D50A49">
        <w:t xml:space="preserve">flooring such as </w:t>
      </w:r>
      <w:r>
        <w:t>vinyl composition tile</w:t>
      </w:r>
      <w:r w:rsidRPr="00D50A49">
        <w:t xml:space="preserve">, </w:t>
      </w:r>
      <w:r>
        <w:t>v</w:t>
      </w:r>
      <w:r w:rsidRPr="00D50A49">
        <w:t>inyl plank</w:t>
      </w:r>
      <w:r>
        <w:t xml:space="preserve"> </w:t>
      </w:r>
      <w:r w:rsidRPr="00D50A49">
        <w:t xml:space="preserve">or </w:t>
      </w:r>
      <w:r>
        <w:t>l</w:t>
      </w:r>
      <w:r w:rsidRPr="00D50A49">
        <w:t>inoleum</w:t>
      </w:r>
      <w:r>
        <w:t xml:space="preserve"> </w:t>
      </w:r>
      <w:r w:rsidRPr="00D50A49">
        <w:t xml:space="preserve">over </w:t>
      </w:r>
      <w:proofErr w:type="spellStart"/>
      <w:r w:rsidRPr="00D50A49">
        <w:t>DragonBoard</w:t>
      </w:r>
      <w:proofErr w:type="spellEnd"/>
      <w:r w:rsidRPr="00D50A49">
        <w:t xml:space="preserve">, all </w:t>
      </w:r>
      <w:r>
        <w:t xml:space="preserve">subfloor </w:t>
      </w:r>
      <w:r w:rsidRPr="00D50A49">
        <w:t>seams sh</w:t>
      </w:r>
      <w:r>
        <w:t>all</w:t>
      </w:r>
      <w:r w:rsidRPr="00D50A49">
        <w:t xml:space="preserve"> be filled with a polyurea or modified epoxy seam filler and shaved or sanded</w:t>
      </w:r>
      <w:r>
        <w:t xml:space="preserve"> </w:t>
      </w:r>
      <w:r w:rsidRPr="00D50A49">
        <w:t>flush</w:t>
      </w:r>
      <w:r>
        <w:t xml:space="preserve"> to create a uniformly smooth surface to avoid telegraphing uneven joints to the wear surface.</w:t>
      </w:r>
    </w:p>
    <w:p w14:paraId="661E66C6" w14:textId="77777777" w:rsidR="00DB4976" w:rsidRPr="00D50A49" w:rsidRDefault="00DB4976" w:rsidP="00DB4976">
      <w:pPr>
        <w:pStyle w:val="Heading5"/>
      </w:pPr>
      <w:r w:rsidRPr="00D50A49">
        <w:t>Underlayment</w:t>
      </w:r>
      <w:r>
        <w:t>:  I</w:t>
      </w:r>
      <w:r w:rsidRPr="00D50A49">
        <w:t>n certain circumstances</w:t>
      </w:r>
      <w:r>
        <w:t xml:space="preserve"> </w:t>
      </w:r>
      <w:r w:rsidRPr="00D50A49">
        <w:t xml:space="preserve">underlayment, isolation membranes and seam bridging membranes </w:t>
      </w:r>
      <w:r>
        <w:t>may be</w:t>
      </w:r>
      <w:r w:rsidRPr="00D50A49">
        <w:t xml:space="preserve"> </w:t>
      </w:r>
      <w:r>
        <w:t>“needed” or “required”</w:t>
      </w:r>
      <w:r w:rsidRPr="00D50A49">
        <w:t xml:space="preserve">. </w:t>
      </w:r>
      <w:r>
        <w:t xml:space="preserve"> F</w:t>
      </w:r>
      <w:r w:rsidRPr="00D50A49">
        <w:t>ollow manufacturer</w:t>
      </w:r>
      <w:r>
        <w:t>'</w:t>
      </w:r>
      <w:r w:rsidRPr="00D50A49">
        <w:t>s installation instructions.</w:t>
      </w:r>
    </w:p>
    <w:p w14:paraId="37599D5C" w14:textId="77777777" w:rsidR="00DB4976" w:rsidRPr="00D50A49" w:rsidRDefault="00DB4976" w:rsidP="00DB4976">
      <w:pPr>
        <w:pStyle w:val="Heading5"/>
      </w:pPr>
      <w:r w:rsidRPr="00D50A49">
        <w:lastRenderedPageBreak/>
        <w:t xml:space="preserve">Fastener </w:t>
      </w:r>
      <w:r>
        <w:t>S</w:t>
      </w:r>
      <w:r w:rsidRPr="00D50A49">
        <w:t>pacing</w:t>
      </w:r>
      <w:r>
        <w:t xml:space="preserve">:  </w:t>
      </w:r>
      <w:r w:rsidRPr="00D50A49">
        <w:t>Fasteners sh</w:t>
      </w:r>
      <w:r>
        <w:t>all</w:t>
      </w:r>
      <w:r w:rsidRPr="00D50A49">
        <w:t xml:space="preserve"> be placed</w:t>
      </w:r>
      <w:r>
        <w:t xml:space="preserve"> 5/8" - </w:t>
      </w:r>
      <w:r w:rsidRPr="00D50A49">
        <w:t>3/4</w:t>
      </w:r>
      <w:r>
        <w:t>"</w:t>
      </w:r>
      <w:r w:rsidRPr="00D50A49">
        <w:t xml:space="preserve"> (15</w:t>
      </w:r>
      <w:r>
        <w:t xml:space="preserve"> mm – </w:t>
      </w:r>
      <w:r w:rsidRPr="00D50A49">
        <w:t>18</w:t>
      </w:r>
      <w:r>
        <w:t xml:space="preserve"> </w:t>
      </w:r>
      <w:r w:rsidRPr="00D50A49">
        <w:t xml:space="preserve">mm) from board edge and never closer than </w:t>
      </w:r>
      <w:r>
        <w:t>1/2"</w:t>
      </w:r>
      <w:r w:rsidRPr="00D50A49">
        <w:t xml:space="preserve"> (12</w:t>
      </w:r>
      <w:r>
        <w:t xml:space="preserve"> </w:t>
      </w:r>
      <w:r w:rsidRPr="00D50A49">
        <w:t>mm)</w:t>
      </w:r>
      <w:r>
        <w:t xml:space="preserve">. </w:t>
      </w:r>
      <w:r w:rsidRPr="00D50A49">
        <w:t xml:space="preserve"> A </w:t>
      </w:r>
      <w:r>
        <w:t>joist flange size of 2” (50 mm) minimum is recommended to accommodate fastener edge distances</w:t>
      </w:r>
      <w:r w:rsidRPr="00D50A49">
        <w:t xml:space="preserve">. </w:t>
      </w:r>
      <w:r>
        <w:t xml:space="preserve"> </w:t>
      </w:r>
      <w:r w:rsidRPr="00D50A49">
        <w:t>Fasteners should be</w:t>
      </w:r>
      <w:r>
        <w:t xml:space="preserve"> </w:t>
      </w:r>
      <w:r w:rsidRPr="00D50A49">
        <w:t>placed every 8</w:t>
      </w:r>
      <w:r>
        <w:t>" (200 mm) on center</w:t>
      </w:r>
      <w:r w:rsidRPr="00D50A49">
        <w:t xml:space="preserve"> on the</w:t>
      </w:r>
      <w:r>
        <w:t xml:space="preserve"> </w:t>
      </w:r>
      <w:r w:rsidRPr="00D50A49">
        <w:t>perimeter and 12</w:t>
      </w:r>
      <w:r>
        <w:t xml:space="preserve">" (300 mm) on center </w:t>
      </w:r>
      <w:r w:rsidRPr="00D50A49">
        <w:t>in the field</w:t>
      </w:r>
      <w:r>
        <w:t>.</w:t>
      </w:r>
    </w:p>
    <w:p w14:paraId="03F6ADB0" w14:textId="77777777" w:rsidR="00DB4976" w:rsidRPr="00D50A49" w:rsidRDefault="00DB4976" w:rsidP="00DB4976">
      <w:pPr>
        <w:pStyle w:val="Heading5"/>
      </w:pPr>
      <w:r w:rsidRPr="00D50A49">
        <w:t xml:space="preserve">Edge </w:t>
      </w:r>
      <w:r>
        <w:t>S</w:t>
      </w:r>
      <w:r w:rsidRPr="00D50A49">
        <w:t>upport</w:t>
      </w:r>
      <w:r>
        <w:t xml:space="preserve">: </w:t>
      </w:r>
      <w:r w:rsidRPr="00D50A49">
        <w:t xml:space="preserve"> </w:t>
      </w:r>
      <w:r>
        <w:t>A</w:t>
      </w:r>
      <w:r w:rsidRPr="00D50A49">
        <w:t>ll edges sh</w:t>
      </w:r>
      <w:r>
        <w:t>all</w:t>
      </w:r>
      <w:r w:rsidRPr="00D50A49">
        <w:t xml:space="preserve"> be supported by framing</w:t>
      </w:r>
      <w:r>
        <w:t>.</w:t>
      </w:r>
    </w:p>
    <w:p w14:paraId="2971F58E" w14:textId="77777777" w:rsidR="00DB4976" w:rsidRPr="00D50A49" w:rsidRDefault="00DB4976" w:rsidP="00DB4976">
      <w:pPr>
        <w:pStyle w:val="Heading5"/>
      </w:pPr>
      <w:r w:rsidRPr="00D50A49">
        <w:t>Cutting</w:t>
      </w:r>
      <w:r>
        <w:t xml:space="preserve">:  </w:t>
      </w:r>
      <w:proofErr w:type="spellStart"/>
      <w:r w:rsidRPr="00D50A49">
        <w:t>DragonBoard</w:t>
      </w:r>
      <w:proofErr w:type="spellEnd"/>
      <w:r w:rsidRPr="00D50A49">
        <w:t xml:space="preserve"> can be cut with either hand or power saws. </w:t>
      </w:r>
      <w:r>
        <w:t xml:space="preserve"> U</w:t>
      </w:r>
      <w:r w:rsidRPr="00D50A49">
        <w:t>se blades specifically made for cement board such as Irwin</w:t>
      </w:r>
      <w:r>
        <w:t xml:space="preserve"> </w:t>
      </w:r>
      <w:r w:rsidRPr="00D50A49">
        <w:t>6T</w:t>
      </w:r>
      <w:r>
        <w:t xml:space="preserve"> </w:t>
      </w:r>
      <w:r w:rsidRPr="00D50A49">
        <w:t>or Diablo PCD blades.</w:t>
      </w:r>
      <w:r>
        <w:t xml:space="preserve"> </w:t>
      </w:r>
      <w:r w:rsidRPr="00D50A49">
        <w:t xml:space="preserve"> </w:t>
      </w:r>
      <w:r>
        <w:t>S</w:t>
      </w:r>
      <w:r w:rsidRPr="00D50A49">
        <w:t>upport both ends while cutting</w:t>
      </w:r>
      <w:r>
        <w:t>.</w:t>
      </w:r>
    </w:p>
    <w:p w14:paraId="13E62068" w14:textId="77777777" w:rsidR="00DB4976" w:rsidRPr="00D50A49" w:rsidRDefault="00DB4976" w:rsidP="00DB4976">
      <w:pPr>
        <w:pStyle w:val="Heading5"/>
      </w:pPr>
      <w:r w:rsidRPr="00D50A49">
        <w:t>Adhesives</w:t>
      </w:r>
      <w:r>
        <w:t xml:space="preserve">:  </w:t>
      </w:r>
      <w:proofErr w:type="spellStart"/>
      <w:r w:rsidRPr="00D50A49">
        <w:t>DragonBoard</w:t>
      </w:r>
      <w:proofErr w:type="spellEnd"/>
      <w:r>
        <w:t xml:space="preserve"> </w:t>
      </w:r>
      <w:r w:rsidRPr="00D50A49">
        <w:t>shiplap seams sh</w:t>
      </w:r>
      <w:r>
        <w:t>all</w:t>
      </w:r>
      <w:r w:rsidRPr="00D50A49">
        <w:t xml:space="preserve"> have a </w:t>
      </w:r>
      <w:r>
        <w:t>1/4"</w:t>
      </w:r>
      <w:r w:rsidRPr="00D50A49">
        <w:t xml:space="preserve"> bead of adhesive applied before placement of the next sheet. </w:t>
      </w:r>
      <w:r>
        <w:t xml:space="preserve"> </w:t>
      </w:r>
      <w:r w:rsidRPr="00D50A49">
        <w:t>Do not allow adhesive to skin</w:t>
      </w:r>
      <w:r>
        <w:t xml:space="preserve"> </w:t>
      </w:r>
      <w:r w:rsidRPr="00D50A49">
        <w:t xml:space="preserve">over. </w:t>
      </w:r>
      <w:r>
        <w:t xml:space="preserve"> </w:t>
      </w:r>
      <w:r w:rsidRPr="00D50A49">
        <w:t>Use</w:t>
      </w:r>
      <w:r>
        <w:t xml:space="preserve"> </w:t>
      </w:r>
      <w:r w:rsidRPr="00D50A49">
        <w:t>ASTM D</w:t>
      </w:r>
      <w:r>
        <w:t xml:space="preserve"> </w:t>
      </w:r>
      <w:r w:rsidRPr="00D50A49">
        <w:t>3498</w:t>
      </w:r>
      <w:r>
        <w:t xml:space="preserve"> </w:t>
      </w:r>
      <w:r w:rsidRPr="00D50A49">
        <w:t xml:space="preserve">compliant adhesives such as: </w:t>
      </w:r>
    </w:p>
    <w:p w14:paraId="7E75E4C2" w14:textId="77777777" w:rsidR="00DB4976" w:rsidRPr="00016470" w:rsidRDefault="00DB4976" w:rsidP="00DB4976">
      <w:pPr>
        <w:pStyle w:val="Heading6"/>
      </w:pPr>
      <w:r w:rsidRPr="00016470">
        <w:t>PEMCO</w:t>
      </w:r>
      <w:r>
        <w:t xml:space="preserve"> </w:t>
      </w:r>
      <w:r w:rsidRPr="00016470">
        <w:t>5100 non-flammable, solvent free, zero V.O.C., polyurethane adhesive</w:t>
      </w:r>
      <w:r>
        <w:t>.</w:t>
      </w:r>
      <w:r w:rsidRPr="00016470">
        <w:t xml:space="preserve"> </w:t>
      </w:r>
    </w:p>
    <w:p w14:paraId="0BD5E269" w14:textId="77777777" w:rsidR="00DB4976" w:rsidRPr="00016470" w:rsidRDefault="00DB4976" w:rsidP="00DB4976">
      <w:pPr>
        <w:pStyle w:val="Heading6"/>
      </w:pPr>
      <w:r w:rsidRPr="00016470">
        <w:t>BOSTICH</w:t>
      </w:r>
      <w:r>
        <w:t xml:space="preserve"> </w:t>
      </w:r>
      <w:r w:rsidRPr="00016470">
        <w:t>Heavy Duty Construction Adhesive</w:t>
      </w:r>
      <w:r>
        <w:t>.</w:t>
      </w:r>
    </w:p>
    <w:p w14:paraId="275B9A68" w14:textId="77777777" w:rsidR="00DB4976" w:rsidRPr="00016470" w:rsidRDefault="00DB4976" w:rsidP="00DB4976">
      <w:pPr>
        <w:pStyle w:val="Heading6"/>
      </w:pPr>
      <w:r w:rsidRPr="00016470">
        <w:t>OSI</w:t>
      </w:r>
      <w:r>
        <w:t xml:space="preserve"> </w:t>
      </w:r>
      <w:r w:rsidRPr="00016470">
        <w:t>SF450 Heavy Duty Subfloor &amp; Construction Adhesive</w:t>
      </w:r>
      <w:r>
        <w:t>.</w:t>
      </w:r>
    </w:p>
    <w:p w14:paraId="003F4D78" w14:textId="77777777" w:rsidR="00DB4976" w:rsidRPr="00016470" w:rsidRDefault="00DB4976" w:rsidP="00DB4976">
      <w:pPr>
        <w:pStyle w:val="Heading6"/>
      </w:pPr>
      <w:r w:rsidRPr="00016470">
        <w:t>LOCTITE</w:t>
      </w:r>
      <w:r>
        <w:t xml:space="preserve"> </w:t>
      </w:r>
      <w:r w:rsidRPr="00016470">
        <w:t>PL 400 Subfloor Adhesive/ Loctite PL Premium Polyurethane Adhesive</w:t>
      </w:r>
      <w:r>
        <w:t>.</w:t>
      </w:r>
    </w:p>
    <w:p w14:paraId="178BA53A" w14:textId="77777777" w:rsidR="00DB4976" w:rsidRDefault="00DB4976" w:rsidP="00DB4976">
      <w:pPr>
        <w:pStyle w:val="Heading4"/>
      </w:pPr>
      <w:r>
        <w:t>cleaning</w:t>
      </w:r>
    </w:p>
    <w:p w14:paraId="634E5120" w14:textId="77777777" w:rsidR="00DB4976" w:rsidRDefault="00DB4976" w:rsidP="00DB4976">
      <w:pPr>
        <w:pStyle w:val="Heading5"/>
      </w:pPr>
      <w:r w:rsidRPr="00400174">
        <w:t>Upon completion and verification of performance of installation, remove surplus materials, excess materials, rubbish, tools</w:t>
      </w:r>
      <w:r>
        <w:t xml:space="preserve"> </w:t>
      </w:r>
      <w:r w:rsidRPr="00400174">
        <w:t>and equipment</w:t>
      </w:r>
      <w:r>
        <w:t>.</w:t>
      </w:r>
    </w:p>
    <w:p w14:paraId="4E8B2387" w14:textId="77777777" w:rsidR="00DB4976" w:rsidRDefault="00DB4976" w:rsidP="00DB4976">
      <w:pPr>
        <w:pStyle w:val="Heading1"/>
      </w:pPr>
      <w:r>
        <w:t>END OF SECTION</w:t>
      </w:r>
    </w:p>
    <w:p w14:paraId="06AF4A45" w14:textId="77777777" w:rsidR="00A363CE" w:rsidRDefault="00A363CE"/>
    <w:sectPr w:rsidR="00A363CE">
      <w:headerReference w:type="default" r:id="rId8"/>
      <w:footerReference w:type="default" r:id="rId9"/>
      <w:pgSz w:w="12240" w:h="15840"/>
      <w:pgMar w:top="144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EA0C" w14:textId="77777777" w:rsidR="00175C0F" w:rsidRDefault="00175C0F">
      <w:r>
        <w:separator/>
      </w:r>
    </w:p>
  </w:endnote>
  <w:endnote w:type="continuationSeparator" w:id="0">
    <w:p w14:paraId="0470B92E" w14:textId="77777777" w:rsidR="00175C0F" w:rsidRDefault="0017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ACF4" w14:textId="37969D41" w:rsidR="00543585" w:rsidRDefault="00DB4976" w:rsidP="00755987">
    <w:pPr>
      <w:pStyle w:val="Footer"/>
      <w:widowControl w:val="0"/>
      <w:tabs>
        <w:tab w:val="clear" w:pos="4680"/>
        <w:tab w:val="clear" w:pos="9360"/>
        <w:tab w:val="center" w:pos="4320"/>
        <w:tab w:val="right" w:pos="8640"/>
      </w:tabs>
      <w:rPr>
        <w:rStyle w:val="PageNumber"/>
        <w:caps w:val="0"/>
      </w:rPr>
    </w:pPr>
    <w:r>
      <w:rPr>
        <w:caps w:val="0"/>
      </w:rPr>
      <w:tab/>
      <w:t>061623-</w:t>
    </w:r>
    <w:r>
      <w:rPr>
        <w:rStyle w:val="PageNumber"/>
        <w:caps w:val="0"/>
      </w:rPr>
      <w:fldChar w:fldCharType="begin"/>
    </w:r>
    <w:r>
      <w:rPr>
        <w:rStyle w:val="PageNumber"/>
        <w:caps w:val="0"/>
      </w:rPr>
      <w:instrText xml:space="preserve"> PAGE </w:instrText>
    </w:r>
    <w:r>
      <w:rPr>
        <w:rStyle w:val="PageNumber"/>
        <w:caps w:val="0"/>
      </w:rPr>
      <w:fldChar w:fldCharType="separate"/>
    </w:r>
    <w:r>
      <w:rPr>
        <w:rStyle w:val="PageNumber"/>
        <w:caps w:val="0"/>
      </w:rPr>
      <w:t>1</w:t>
    </w:r>
    <w:r>
      <w:rPr>
        <w:rStyle w:val="PageNumber"/>
        <w:caps w:val="0"/>
      </w:rPr>
      <w:fldChar w:fldCharType="end"/>
    </w:r>
    <w:r>
      <w:rPr>
        <w:rStyle w:val="PageNumber"/>
        <w:caps w:val="0"/>
      </w:rPr>
      <w:tab/>
      <w:t>Subflooring</w:t>
    </w:r>
  </w:p>
  <w:p w14:paraId="140B09C6" w14:textId="77777777" w:rsidR="00543585" w:rsidRPr="002A33AF" w:rsidRDefault="00175C0F" w:rsidP="00755987">
    <w:pPr>
      <w:pStyle w:val="Footer"/>
      <w:widowControl w:val="0"/>
      <w:tabs>
        <w:tab w:val="clear" w:pos="4680"/>
        <w:tab w:val="clear" w:pos="9360"/>
        <w:tab w:val="center" w:pos="4320"/>
        <w:tab w:val="right" w:pos="8640"/>
      </w:tabs>
      <w:rPr>
        <w:caps w:val="0"/>
      </w:rPr>
    </w:pPr>
  </w:p>
  <w:p w14:paraId="0682B172" w14:textId="77777777" w:rsidR="00543585" w:rsidRPr="002A33AF" w:rsidRDefault="00175C0F" w:rsidP="00755987">
    <w:pPr>
      <w:pStyle w:val="Footer"/>
      <w:tabs>
        <w:tab w:val="clear" w:pos="4680"/>
        <w:tab w:val="clear" w:pos="9360"/>
        <w:tab w:val="center" w:pos="4320"/>
        <w:tab w:val="right" w:pos="8640"/>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1619" w14:textId="77777777" w:rsidR="00175C0F" w:rsidRDefault="00175C0F">
      <w:r>
        <w:separator/>
      </w:r>
    </w:p>
  </w:footnote>
  <w:footnote w:type="continuationSeparator" w:id="0">
    <w:p w14:paraId="596245C6" w14:textId="77777777" w:rsidR="00175C0F" w:rsidRDefault="0017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53DF" w14:textId="77777777" w:rsidR="00543585" w:rsidRDefault="00175C0F">
    <w:pPr>
      <w:pStyle w:val="Header"/>
      <w:tabs>
        <w:tab w:val="clear" w:pos="9360"/>
        <w:tab w:val="right" w:pos="8640"/>
      </w:tabs>
    </w:pPr>
  </w:p>
  <w:p w14:paraId="3C1C8494" w14:textId="77777777" w:rsidR="00543585" w:rsidRDefault="00175C0F">
    <w:pPr>
      <w:pStyle w:val="Header"/>
      <w:tabs>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none"/>
      <w:pStyle w:val="Heading1"/>
      <w:suff w:val="nothing"/>
      <w:lvlText w:val=""/>
      <w:lvlJc w:val="left"/>
      <w:pPr>
        <w:ind w:left="0" w:firstLine="0"/>
      </w:pPr>
    </w:lvl>
    <w:lvl w:ilvl="1">
      <w:start w:val="1"/>
      <w:numFmt w:val="decimal"/>
      <w:pStyle w:val="Heading2"/>
      <w:lvlText w:val="1.%2"/>
      <w:legacy w:legacy="1" w:legacySpace="0" w:legacyIndent="864"/>
      <w:lvlJc w:val="left"/>
      <w:pPr>
        <w:ind w:left="864" w:hanging="864"/>
      </w:pPr>
    </w:lvl>
    <w:lvl w:ilvl="2">
      <w:start w:val="1"/>
      <w:numFmt w:val="decimal"/>
      <w:pStyle w:val="Heading3"/>
      <w:lvlText w:val="2.%3"/>
      <w:legacy w:legacy="1" w:legacySpace="0" w:legacyIndent="864"/>
      <w:lvlJc w:val="left"/>
      <w:pPr>
        <w:ind w:left="864" w:hanging="864"/>
      </w:pPr>
    </w:lvl>
    <w:lvl w:ilvl="3">
      <w:start w:val="1"/>
      <w:numFmt w:val="decimal"/>
      <w:pStyle w:val="Heading4"/>
      <w:lvlText w:val="3.%4"/>
      <w:legacy w:legacy="1" w:legacySpace="0" w:legacyIndent="864"/>
      <w:lvlJc w:val="left"/>
      <w:pPr>
        <w:ind w:left="864" w:hanging="864"/>
      </w:pPr>
    </w:lvl>
    <w:lvl w:ilvl="4">
      <w:start w:val="1"/>
      <w:numFmt w:val="upperLetter"/>
      <w:pStyle w:val="Heading5"/>
      <w:lvlText w:val="%5."/>
      <w:legacy w:legacy="1" w:legacySpace="0" w:legacyIndent="432"/>
      <w:lvlJc w:val="left"/>
      <w:pPr>
        <w:ind w:left="864" w:hanging="432"/>
      </w:pPr>
    </w:lvl>
    <w:lvl w:ilvl="5">
      <w:start w:val="1"/>
      <w:numFmt w:val="decimal"/>
      <w:pStyle w:val="Heading6"/>
      <w:lvlText w:val="%6."/>
      <w:legacy w:legacy="1" w:legacySpace="0" w:legacyIndent="432"/>
      <w:lvlJc w:val="left"/>
      <w:pPr>
        <w:ind w:left="1296" w:hanging="432"/>
      </w:pPr>
    </w:lvl>
    <w:lvl w:ilvl="6">
      <w:start w:val="1"/>
      <w:numFmt w:val="lowerLetter"/>
      <w:pStyle w:val="Heading7"/>
      <w:lvlText w:val="%7."/>
      <w:legacy w:legacy="1" w:legacySpace="0" w:legacyIndent="504"/>
      <w:lvlJc w:val="left"/>
      <w:pPr>
        <w:ind w:left="1800" w:hanging="504"/>
      </w:pPr>
    </w:lvl>
    <w:lvl w:ilvl="7">
      <w:start w:val="1"/>
      <w:numFmt w:val="decimal"/>
      <w:pStyle w:val="Heading8"/>
      <w:lvlText w:val="%8)."/>
      <w:legacy w:legacy="1" w:legacySpace="0" w:legacyIndent="720"/>
      <w:lvlJc w:val="left"/>
      <w:pPr>
        <w:ind w:left="2520" w:hanging="720"/>
      </w:pPr>
    </w:lvl>
    <w:lvl w:ilvl="8">
      <w:start w:val="1"/>
      <w:numFmt w:val="lowerLetter"/>
      <w:pStyle w:val="Heading9"/>
      <w:lvlText w:val="(%9)."/>
      <w:legacy w:legacy="1" w:legacySpace="0" w:legacyIndent="720"/>
      <w:lvlJc w:val="left"/>
      <w:pPr>
        <w:ind w:left="54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DAwNrEwNrUwsrBQ0lEKTi0uzszPAykwrAUA1j3I3CwAAAA="/>
  </w:docVars>
  <w:rsids>
    <w:rsidRoot w:val="00DB4976"/>
    <w:rsid w:val="00101AD7"/>
    <w:rsid w:val="00175C0F"/>
    <w:rsid w:val="001D1FA8"/>
    <w:rsid w:val="00600BB3"/>
    <w:rsid w:val="006850A0"/>
    <w:rsid w:val="0093622E"/>
    <w:rsid w:val="00A363CE"/>
    <w:rsid w:val="00B81F3E"/>
    <w:rsid w:val="00DB4976"/>
    <w:rsid w:val="00E10B5E"/>
    <w:rsid w:val="00E17424"/>
    <w:rsid w:val="00FE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A05C"/>
  <w15:chartTrackingRefBased/>
  <w15:docId w15:val="{B0F8D3FC-94FE-4C4A-8D2D-1485A7E9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76"/>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DB4976"/>
    <w:pPr>
      <w:keepNext/>
      <w:numPr>
        <w:numId w:val="1"/>
      </w:numPr>
      <w:tabs>
        <w:tab w:val="left" w:pos="864"/>
      </w:tabs>
      <w:spacing w:before="120" w:line="480" w:lineRule="auto"/>
      <w:outlineLvl w:val="0"/>
    </w:pPr>
    <w:rPr>
      <w:caps/>
    </w:rPr>
  </w:style>
  <w:style w:type="paragraph" w:styleId="Heading2">
    <w:name w:val="heading 2"/>
    <w:basedOn w:val="Normal"/>
    <w:next w:val="Heading5"/>
    <w:link w:val="Heading2Char"/>
    <w:qFormat/>
    <w:rsid w:val="00DB4976"/>
    <w:pPr>
      <w:keepNext/>
      <w:numPr>
        <w:ilvl w:val="1"/>
        <w:numId w:val="1"/>
      </w:numPr>
      <w:spacing w:after="200"/>
      <w:outlineLvl w:val="1"/>
    </w:pPr>
    <w:rPr>
      <w:caps/>
    </w:rPr>
  </w:style>
  <w:style w:type="paragraph" w:styleId="Heading3">
    <w:name w:val="heading 3"/>
    <w:basedOn w:val="Normal"/>
    <w:next w:val="Heading5"/>
    <w:link w:val="Heading3Char"/>
    <w:qFormat/>
    <w:rsid w:val="00DB4976"/>
    <w:pPr>
      <w:keepNext/>
      <w:numPr>
        <w:ilvl w:val="2"/>
        <w:numId w:val="1"/>
      </w:numPr>
      <w:spacing w:after="200"/>
      <w:outlineLvl w:val="2"/>
    </w:pPr>
    <w:rPr>
      <w:caps/>
    </w:rPr>
  </w:style>
  <w:style w:type="paragraph" w:styleId="Heading4">
    <w:name w:val="heading 4"/>
    <w:basedOn w:val="Normal"/>
    <w:next w:val="Heading5"/>
    <w:link w:val="Heading4Char"/>
    <w:qFormat/>
    <w:rsid w:val="00DB4976"/>
    <w:pPr>
      <w:keepNext/>
      <w:numPr>
        <w:ilvl w:val="3"/>
        <w:numId w:val="1"/>
      </w:numPr>
      <w:spacing w:after="200"/>
      <w:outlineLvl w:val="3"/>
    </w:pPr>
    <w:rPr>
      <w:caps/>
    </w:rPr>
  </w:style>
  <w:style w:type="paragraph" w:styleId="Heading5">
    <w:name w:val="heading 5"/>
    <w:basedOn w:val="Normal"/>
    <w:link w:val="Heading5Char"/>
    <w:qFormat/>
    <w:rsid w:val="00DB4976"/>
    <w:pPr>
      <w:numPr>
        <w:ilvl w:val="4"/>
        <w:numId w:val="1"/>
      </w:numPr>
      <w:spacing w:after="200"/>
      <w:ind w:hanging="504"/>
      <w:outlineLvl w:val="4"/>
    </w:pPr>
  </w:style>
  <w:style w:type="paragraph" w:styleId="Heading6">
    <w:name w:val="heading 6"/>
    <w:basedOn w:val="Normal"/>
    <w:link w:val="Heading6Char"/>
    <w:qFormat/>
    <w:rsid w:val="00DB4976"/>
    <w:pPr>
      <w:numPr>
        <w:ilvl w:val="5"/>
        <w:numId w:val="1"/>
      </w:numPr>
      <w:spacing w:after="200"/>
      <w:outlineLvl w:val="5"/>
    </w:pPr>
  </w:style>
  <w:style w:type="paragraph" w:styleId="Heading7">
    <w:name w:val="heading 7"/>
    <w:basedOn w:val="Normal"/>
    <w:next w:val="Normal"/>
    <w:link w:val="Heading7Char"/>
    <w:qFormat/>
    <w:rsid w:val="00DB4976"/>
    <w:pPr>
      <w:numPr>
        <w:ilvl w:val="6"/>
        <w:numId w:val="1"/>
      </w:numPr>
      <w:outlineLvl w:val="6"/>
    </w:pPr>
  </w:style>
  <w:style w:type="paragraph" w:styleId="Heading8">
    <w:name w:val="heading 8"/>
    <w:basedOn w:val="Normal"/>
    <w:next w:val="Normal"/>
    <w:link w:val="Heading8Char"/>
    <w:qFormat/>
    <w:rsid w:val="00DB4976"/>
    <w:pPr>
      <w:numPr>
        <w:ilvl w:val="7"/>
        <w:numId w:val="1"/>
      </w:numPr>
      <w:outlineLvl w:val="7"/>
    </w:pPr>
  </w:style>
  <w:style w:type="paragraph" w:styleId="Heading9">
    <w:name w:val="heading 9"/>
    <w:basedOn w:val="Normal"/>
    <w:link w:val="Heading9Char"/>
    <w:qFormat/>
    <w:rsid w:val="00DB497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976"/>
    <w:rPr>
      <w:rFonts w:ascii="Times New Roman" w:eastAsia="Times New Roman" w:hAnsi="Times New Roman" w:cs="Times New Roman"/>
      <w:caps/>
      <w:szCs w:val="20"/>
    </w:rPr>
  </w:style>
  <w:style w:type="character" w:customStyle="1" w:styleId="Heading2Char">
    <w:name w:val="Heading 2 Char"/>
    <w:basedOn w:val="DefaultParagraphFont"/>
    <w:link w:val="Heading2"/>
    <w:rsid w:val="00DB49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DB4976"/>
    <w:rPr>
      <w:rFonts w:ascii="Times New Roman" w:eastAsia="Times New Roman" w:hAnsi="Times New Roman" w:cs="Times New Roman"/>
      <w:caps/>
      <w:szCs w:val="20"/>
    </w:rPr>
  </w:style>
  <w:style w:type="character" w:customStyle="1" w:styleId="Heading4Char">
    <w:name w:val="Heading 4 Char"/>
    <w:basedOn w:val="DefaultParagraphFont"/>
    <w:link w:val="Heading4"/>
    <w:rsid w:val="00DB4976"/>
    <w:rPr>
      <w:rFonts w:ascii="Times New Roman" w:eastAsia="Times New Roman" w:hAnsi="Times New Roman" w:cs="Times New Roman"/>
      <w:caps/>
      <w:szCs w:val="20"/>
    </w:rPr>
  </w:style>
  <w:style w:type="character" w:customStyle="1" w:styleId="Heading5Char">
    <w:name w:val="Heading 5 Char"/>
    <w:basedOn w:val="DefaultParagraphFont"/>
    <w:link w:val="Heading5"/>
    <w:rsid w:val="00DB4976"/>
    <w:rPr>
      <w:rFonts w:ascii="Times New Roman" w:eastAsia="Times New Roman" w:hAnsi="Times New Roman" w:cs="Times New Roman"/>
      <w:szCs w:val="20"/>
    </w:rPr>
  </w:style>
  <w:style w:type="character" w:customStyle="1" w:styleId="Heading6Char">
    <w:name w:val="Heading 6 Char"/>
    <w:basedOn w:val="DefaultParagraphFont"/>
    <w:link w:val="Heading6"/>
    <w:rsid w:val="00DB4976"/>
    <w:rPr>
      <w:rFonts w:ascii="Times New Roman" w:eastAsia="Times New Roman" w:hAnsi="Times New Roman" w:cs="Times New Roman"/>
      <w:szCs w:val="20"/>
    </w:rPr>
  </w:style>
  <w:style w:type="character" w:customStyle="1" w:styleId="Heading7Char">
    <w:name w:val="Heading 7 Char"/>
    <w:basedOn w:val="DefaultParagraphFont"/>
    <w:link w:val="Heading7"/>
    <w:rsid w:val="00DB4976"/>
    <w:rPr>
      <w:rFonts w:ascii="Times New Roman" w:eastAsia="Times New Roman" w:hAnsi="Times New Roman" w:cs="Times New Roman"/>
      <w:szCs w:val="20"/>
    </w:rPr>
  </w:style>
  <w:style w:type="character" w:customStyle="1" w:styleId="Heading8Char">
    <w:name w:val="Heading 8 Char"/>
    <w:basedOn w:val="DefaultParagraphFont"/>
    <w:link w:val="Heading8"/>
    <w:rsid w:val="00DB4976"/>
    <w:rPr>
      <w:rFonts w:ascii="Times New Roman" w:eastAsia="Times New Roman" w:hAnsi="Times New Roman" w:cs="Times New Roman"/>
      <w:szCs w:val="20"/>
    </w:rPr>
  </w:style>
  <w:style w:type="character" w:customStyle="1" w:styleId="Heading9Char">
    <w:name w:val="Heading 9 Char"/>
    <w:basedOn w:val="DefaultParagraphFont"/>
    <w:link w:val="Heading9"/>
    <w:rsid w:val="00DB4976"/>
    <w:rPr>
      <w:rFonts w:ascii="Times New Roman" w:eastAsia="Times New Roman" w:hAnsi="Times New Roman" w:cs="Times New Roman"/>
      <w:szCs w:val="20"/>
    </w:rPr>
  </w:style>
  <w:style w:type="paragraph" w:styleId="Footer">
    <w:name w:val="footer"/>
    <w:basedOn w:val="Normal"/>
    <w:link w:val="FooterChar"/>
    <w:rsid w:val="00DB4976"/>
    <w:pPr>
      <w:tabs>
        <w:tab w:val="center" w:pos="4680"/>
        <w:tab w:val="right" w:pos="9360"/>
      </w:tabs>
    </w:pPr>
    <w:rPr>
      <w:caps/>
    </w:rPr>
  </w:style>
  <w:style w:type="character" w:customStyle="1" w:styleId="FooterChar">
    <w:name w:val="Footer Char"/>
    <w:basedOn w:val="DefaultParagraphFont"/>
    <w:link w:val="Footer"/>
    <w:rsid w:val="00DB4976"/>
    <w:rPr>
      <w:rFonts w:ascii="Times New Roman" w:eastAsia="Times New Roman" w:hAnsi="Times New Roman" w:cs="Times New Roman"/>
      <w:caps/>
      <w:szCs w:val="20"/>
    </w:rPr>
  </w:style>
  <w:style w:type="paragraph" w:styleId="Header">
    <w:name w:val="header"/>
    <w:basedOn w:val="Normal"/>
    <w:link w:val="HeaderChar"/>
    <w:rsid w:val="00DB4976"/>
    <w:pPr>
      <w:tabs>
        <w:tab w:val="right" w:pos="9360"/>
      </w:tabs>
      <w:jc w:val="left"/>
    </w:pPr>
  </w:style>
  <w:style w:type="character" w:customStyle="1" w:styleId="HeaderChar">
    <w:name w:val="Header Char"/>
    <w:basedOn w:val="DefaultParagraphFont"/>
    <w:link w:val="Header"/>
    <w:rsid w:val="00DB4976"/>
    <w:rPr>
      <w:rFonts w:ascii="Times New Roman" w:eastAsia="Times New Roman" w:hAnsi="Times New Roman" w:cs="Times New Roman"/>
      <w:szCs w:val="20"/>
    </w:rPr>
  </w:style>
  <w:style w:type="character" w:styleId="PageNumber">
    <w:name w:val="page number"/>
    <w:basedOn w:val="DefaultParagraphFont"/>
    <w:rsid w:val="00DB4976"/>
  </w:style>
  <w:style w:type="character" w:customStyle="1" w:styleId="SI">
    <w:name w:val="SI"/>
    <w:rsid w:val="00DB4976"/>
    <w:rPr>
      <w:color w:val="008080"/>
    </w:rPr>
  </w:style>
  <w:style w:type="character" w:customStyle="1" w:styleId="IP">
    <w:name w:val="IP"/>
    <w:rsid w:val="00DB4976"/>
    <w:rPr>
      <w:color w:val="FF0000"/>
    </w:rPr>
  </w:style>
  <w:style w:type="character" w:styleId="Hyperlink">
    <w:name w:val="Hyperlink"/>
    <w:uiPriority w:val="99"/>
    <w:unhideWhenUsed/>
    <w:rsid w:val="00DB4976"/>
    <w:rPr>
      <w:color w:val="0563C1"/>
      <w:u w:val="single"/>
    </w:rPr>
  </w:style>
  <w:style w:type="character" w:styleId="CommentReference">
    <w:name w:val="annotation reference"/>
    <w:uiPriority w:val="99"/>
    <w:semiHidden/>
    <w:unhideWhenUsed/>
    <w:rsid w:val="00DB4976"/>
    <w:rPr>
      <w:sz w:val="16"/>
      <w:szCs w:val="16"/>
    </w:rPr>
  </w:style>
  <w:style w:type="paragraph" w:styleId="CommentText">
    <w:name w:val="annotation text"/>
    <w:basedOn w:val="Normal"/>
    <w:link w:val="CommentTextChar"/>
    <w:uiPriority w:val="99"/>
    <w:semiHidden/>
    <w:unhideWhenUsed/>
    <w:rsid w:val="00DB4976"/>
    <w:rPr>
      <w:sz w:val="20"/>
    </w:rPr>
  </w:style>
  <w:style w:type="character" w:customStyle="1" w:styleId="CommentTextChar">
    <w:name w:val="Comment Text Char"/>
    <w:basedOn w:val="DefaultParagraphFont"/>
    <w:link w:val="CommentText"/>
    <w:uiPriority w:val="99"/>
    <w:semiHidden/>
    <w:rsid w:val="00DB49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ragon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5612</Characters>
  <Application>Microsoft Office Word</Application>
  <DocSecurity>0</DocSecurity>
  <Lines>122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Forgione</dc:creator>
  <cp:keywords/>
  <dc:description/>
  <cp:lastModifiedBy>Nightmusic Sulayman</cp:lastModifiedBy>
  <cp:revision>2</cp:revision>
  <dcterms:created xsi:type="dcterms:W3CDTF">2019-03-27T19:54:00Z</dcterms:created>
  <dcterms:modified xsi:type="dcterms:W3CDTF">2019-03-27T19:54:00Z</dcterms:modified>
</cp:coreProperties>
</file>